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Regarding Remand for Search Property Attachment and Disposal a matter involving continuing conduct and repeated events</w:t>
      </w:r>
    </w:p>
    <w:p>
      <w:pPr>
        <w:spacing w:before="0" w:after="160" w:line="269" w:lineRule="auto"/>
        <w:jc w:val="center"/>
      </w:pPr>
      <w:r>
        <w:rPr>
          <w:rFonts w:ascii="Times New Roman" w:hAnsi="Times New Roman"/>
          <w:b w:val="0"/>
          <w:i w:val="0"/>
          <w:color w:val="000000"/>
          <w:sz w:val="18"/>
        </w:rPr>
        <w:t>BNSS Law drafts  |  Search Property Attachment and Disposal  |  Resource ID LAW-02-10-014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regarding remand to present verified facts and ask the competent forum for a defined procedural or substantive direction in a matter concerning Search Property Attachment and Disposal.</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Search Property Attachment and Disposal,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regarding remand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LAW-02-10-014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Regarding Remand for Search Property Attachment and Disposal a matter involving continuing conduct and repeated events</dc:title>
  <dc:subject>Original editable Indian legal drafting framework</dc:subject>
  <dc:creator>Legal Resource Library</dc:creator>
  <cp:keywords>BNSS Law drafts; Search Property Attachment and Disposal;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